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30"/>
          <w:szCs w:val="30"/>
          <w:lang w:eastAsia="en-US"/>
        </w:rPr>
      </w:pPr>
      <w:r>
        <w:rPr>
          <w:rFonts w:asciiTheme="minorHAnsi" w:eastAsiaTheme="minorHAnsi" w:hAnsiTheme="minorHAnsi"/>
          <w:b/>
          <w:bCs/>
          <w:color w:val="auto"/>
          <w:sz w:val="30"/>
          <w:szCs w:val="30"/>
          <w:lang w:eastAsia="en-US"/>
        </w:rPr>
        <w:t>R</w:t>
      </w:r>
      <w:r w:rsidRPr="00AA4FB6">
        <w:rPr>
          <w:rFonts w:asciiTheme="minorHAnsi" w:eastAsiaTheme="minorHAnsi" w:hAnsiTheme="minorHAnsi"/>
          <w:b/>
          <w:bCs/>
          <w:color w:val="auto"/>
          <w:sz w:val="30"/>
          <w:szCs w:val="30"/>
          <w:lang w:eastAsia="en-US"/>
        </w:rPr>
        <w:t>uszył nabór wniosków o 500+ na kolejny okres świadczeniowy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30"/>
          <w:szCs w:val="30"/>
          <w:lang w:eastAsia="en-US"/>
        </w:rPr>
      </w:pPr>
    </w:p>
    <w:p w:rsid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b/>
          <w:color w:val="auto"/>
          <w:sz w:val="26"/>
          <w:szCs w:val="26"/>
          <w:lang w:eastAsia="en-US"/>
        </w:rPr>
        <w:t xml:space="preserve">Od 1 lutego ZUS zaczął przyjmować wnioski o świadczenie wychowawcze 500+ na nowy okres świadczeniowy, który trwa od 1 czerwca 2023 r. do 31 maja 2024 r. Wnioski na nowy okres można złożyć m.in. za pośrednictwem bezpłatnej aplikacji </w:t>
      </w:r>
      <w:proofErr w:type="spellStart"/>
      <w:r w:rsidRPr="00AA4FB6">
        <w:rPr>
          <w:rFonts w:asciiTheme="minorHAnsi" w:eastAsiaTheme="minorHAnsi" w:hAnsiTheme="minorHAnsi"/>
          <w:b/>
          <w:color w:val="auto"/>
          <w:sz w:val="26"/>
          <w:szCs w:val="26"/>
          <w:lang w:eastAsia="en-US"/>
        </w:rPr>
        <w:t>mZUS</w:t>
      </w:r>
      <w:proofErr w:type="spellEnd"/>
      <w:r w:rsidRPr="00AA4FB6">
        <w:rPr>
          <w:rFonts w:asciiTheme="minorHAnsi" w:eastAsiaTheme="minorHAnsi" w:hAnsiTheme="minorHAnsi"/>
          <w:b/>
          <w:color w:val="auto"/>
          <w:sz w:val="26"/>
          <w:szCs w:val="26"/>
          <w:lang w:eastAsia="en-US"/>
        </w:rPr>
        <w:t xml:space="preserve"> dostępnej na telefony komórkowe lub tablety</w:t>
      </w:r>
      <w:r>
        <w:rPr>
          <w:rFonts w:asciiTheme="minorHAnsi" w:eastAsiaTheme="minorHAnsi" w:hAnsiTheme="minorHAnsi"/>
          <w:b/>
          <w:color w:val="auto"/>
          <w:sz w:val="26"/>
          <w:szCs w:val="26"/>
          <w:lang w:eastAsia="en-US"/>
        </w:rPr>
        <w:t>.</w:t>
      </w:r>
    </w:p>
    <w:p w:rsid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b/>
          <w:color w:val="auto"/>
          <w:sz w:val="26"/>
          <w:szCs w:val="26"/>
          <w:lang w:eastAsia="en-US"/>
        </w:rPr>
      </w:pP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Ś</w:t>
      </w: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wiadczenie wychowawcze przysługuje na każde dziecko do ukończenia przez nie 18 lat, niezależnie od osiąganych 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przez rodziców </w:t>
      </w: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dochodów. Żeby otrzymać świadczenie wychowawcze na nowy okres świadczeniowy, trzeba złożyć do ZUS odpowiedni wniosek wyłącznie drogą elektroniczną.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Wnioski na nowy okres świadczeniowy można złożyć za pośrednictwem bezpłatnej aplikacji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mZUS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dostępnej na urządzenia mobilne (telefony komórkowe, tablety). Wniosek można również wypełnić na komputerze za pośrednictwem Platformy Usług Elektronicznych (PUE) ZUS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, </w:t>
      </w: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portal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Emp@tia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albo swój bank – jeśli bank uruchomił taką usługę. Jeżeli 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rodzic </w:t>
      </w: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złoży wniosek przez bank albo portal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Emp@tia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, a nie ma profilu na PUE ZUS, Zakład Ubezpieczeń Społecznych założy mu taki profil automatycznie na podstawie danych podanych przez klienta we wniosku.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Osobie, która złoży prawidłowo wypełniony wniosek: do 30 kwietnia 2023 r., ZUS wypłaci świadczenie  do 30 czerwca 2023 r., w maju 2023 r. – ZUS wypłaci świadczenie do 31 lipca 2023 r. wraz z wyrównaniem kwoty świadczenia od czerwca, w czerwcu  2023 r. – ZUS wypłaci świadczenie do 31 sierpnia 2023 r. wraz z wyrównaniem kwoty świadczenia od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czerwca, w lipcu 2023 r. </w:t>
      </w: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– ZUS wypłaci świadczenie do 30 września 2023 r., wraz z wyrównaniem kwoty świadczenia od lipca, w sierpniu 2023 r.  – ZUS wypłaci świadczenie do 31 października 2023 r. wraz z wyrównaniem kwoty świadczenia od sierpnia.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  <w:t>500+ dla obcokrajowców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Świadczenie wychowawcze przysługuje zamieszkałym w Polsce obywatelom UE, a także pozostałym cudzoziemcom, o ile mają legalny pobytu w Polsce wraz z dostępem do polskiego rynku pracy. Do wniosku powinni dołączyć dokument potwierdzający legalność pobytu w Polsce wraz z dostępem do rynku pracy, np. karta pobytu z adnotacją „dostęp do rynku pracy”. 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Świadczenie 500+ przysługuje obywatelom Ukrainy, którzy przybyli z Ukrainy do Polski po 23 lutym 2022 r. w związku z działaniami wojennymi i uzyskali legalny </w:t>
      </w: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lastRenderedPageBreak/>
        <w:t>pobyt w Polsce na podstawie ustawy o pomocy obywatelom Ukrainy w związku z konfliktem zbrojnym na terytorium tego państwa.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Wniosek o świadczenie powinni złożyć na specjalnie przygotowanym w języku ukraińskim formularzu SW-U. Wniosek ten można złożyć poprzez PUE ZUS, portal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Emp@tia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lub bankowość elektroniczną.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  <w:t xml:space="preserve">Wniosek o 500+ w aplikacji </w:t>
      </w:r>
      <w:proofErr w:type="spellStart"/>
      <w:r w:rsidRPr="00AA4FB6"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  <w:t>mZUS</w:t>
      </w:r>
      <w:proofErr w:type="spellEnd"/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Od 1 lutego 2023 r. wniosek o świadczenie wychowawcze 500+ na nowy okres świadczeniowy można złożyć w aplikacji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mZUS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na swoim telefonie lub tablecie. Z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mZUS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można korzystać na urządzeniach mobilnych z systemami operacyjnymi Android i iOS. Aplikację należy  pobrać 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bezpłatnie </w:t>
      </w: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ze sklepów Google Play oraz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App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Store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.</w:t>
      </w: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Aplikacja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mZUS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zawiera funkcje, które przyspieszają wypełnienie wniosku o 500+. Jeśli klient składał już wniosek o to świadczenie w poprzednim okresie świadczeniowym i ZUS je przyznał, to klient może utworzyć w aplikacji wniose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k na nowy okres świadczeniowy. T</w:t>
      </w: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aki wniosek zostanie automatycznie uzupełniony na podstawie wcześniejszych danych. </w:t>
      </w:r>
      <w:bookmarkStart w:id="0" w:name="_GoBack"/>
      <w:bookmarkEnd w:id="0"/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AA4FB6" w:rsidRPr="00AA4FB6" w:rsidRDefault="00AA4FB6" w:rsidP="00AA4FB6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Podobnie jak na PUE, jeśli dzieci są zgłoszone do ubezpieczenia zdrowotnego w ZUS, to klient może w kreatorze wniosku pobrać ich dane (m.in. PESEL, data urodzenia) automatycznie. Dzięki temu nie trzeba wpisywać danych ręcznie. Funkcje aplikacji </w:t>
      </w:r>
      <w:proofErr w:type="spellStart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mZUS</w:t>
      </w:r>
      <w:proofErr w:type="spellEnd"/>
      <w:r w:rsidRPr="00AA4FB6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znacznie przyspieszają wypełnienie wniosku, który można wysłać szybko i wygodnie na tablecie lub telefonie.</w:t>
      </w:r>
    </w:p>
    <w:p w:rsidR="00A824C3" w:rsidRPr="00A824C3" w:rsidRDefault="00A824C3" w:rsidP="00AA4FB6">
      <w:pPr>
        <w:pStyle w:val="Jednostka"/>
        <w:jc w:val="both"/>
        <w:rPr>
          <w:rFonts w:asciiTheme="minorHAnsi" w:hAnsiTheme="minorHAnsi" w:cs="Helvetica"/>
          <w:szCs w:val="24"/>
        </w:rPr>
      </w:pPr>
    </w:p>
    <w:sectPr w:rsidR="00A824C3" w:rsidRPr="00A824C3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8F" w:rsidRDefault="00FA458F">
      <w:pPr>
        <w:spacing w:before="0" w:after="0"/>
      </w:pPr>
      <w:r>
        <w:separator/>
      </w:r>
    </w:p>
  </w:endnote>
  <w:endnote w:type="continuationSeparator" w:id="0">
    <w:p w:rsidR="00FA458F" w:rsidRDefault="00FA45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A4FB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FA458F">
      <w:fldChar w:fldCharType="begin"/>
    </w:r>
    <w:r w:rsidR="00FA458F">
      <w:instrText xml:space="preserve"> NUMPAGES  \* MERGEFORMAT </w:instrText>
    </w:r>
    <w:r w:rsidR="00FA458F">
      <w:fldChar w:fldCharType="separate"/>
    </w:r>
    <w:r w:rsidR="00AA4FB6" w:rsidRPr="00AA4FB6">
      <w:rPr>
        <w:rStyle w:val="StopkastronyZnak"/>
        <w:noProof/>
      </w:rPr>
      <w:t>2</w:t>
    </w:r>
    <w:r w:rsidR="00FA458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8F" w:rsidRDefault="00FA458F">
      <w:pPr>
        <w:spacing w:before="0" w:after="0"/>
      </w:pPr>
      <w:r>
        <w:separator/>
      </w:r>
    </w:p>
  </w:footnote>
  <w:footnote w:type="continuationSeparator" w:id="0">
    <w:p w:rsidR="00FA458F" w:rsidRDefault="00FA458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46767C"/>
    <w:rsid w:val="00496F48"/>
    <w:rsid w:val="004A5E03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A4FB6"/>
    <w:rsid w:val="00AD7739"/>
    <w:rsid w:val="00B2109E"/>
    <w:rsid w:val="00B27706"/>
    <w:rsid w:val="00B316E3"/>
    <w:rsid w:val="00BD516C"/>
    <w:rsid w:val="00C0484C"/>
    <w:rsid w:val="00C143E6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4398"/>
    <w:rsid w:val="00FA458F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2023-02-01T07:08:00Z</dcterms:created>
  <dcterms:modified xsi:type="dcterms:W3CDTF">2023-02-01T07:08:00Z</dcterms:modified>
</cp:coreProperties>
</file>